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1B" w:rsidRPr="00156377" w:rsidRDefault="00D1041B" w:rsidP="00D1041B">
      <w:pPr>
        <w:jc w:val="center"/>
        <w:rPr>
          <w:b/>
          <w:sz w:val="28"/>
          <w:szCs w:val="28"/>
        </w:rPr>
      </w:pPr>
      <w:r w:rsidRPr="00156377">
        <w:rPr>
          <w:b/>
          <w:sz w:val="28"/>
          <w:szCs w:val="28"/>
        </w:rPr>
        <w:t>Phần II</w:t>
      </w:r>
    </w:p>
    <w:p w:rsidR="00D1041B" w:rsidRDefault="00D1041B" w:rsidP="00D1041B">
      <w:pPr>
        <w:jc w:val="center"/>
        <w:rPr>
          <w:b/>
          <w:sz w:val="28"/>
          <w:szCs w:val="28"/>
        </w:rPr>
      </w:pPr>
      <w:r w:rsidRPr="00156377">
        <w:rPr>
          <w:b/>
          <w:sz w:val="28"/>
          <w:szCs w:val="28"/>
        </w:rPr>
        <w:t>NỘI DUNG CỤ THỂ</w:t>
      </w:r>
    </w:p>
    <w:p w:rsidR="00D1041B" w:rsidRPr="00156377" w:rsidRDefault="00D1041B" w:rsidP="00D1041B">
      <w:pPr>
        <w:jc w:val="center"/>
        <w:rPr>
          <w:b/>
          <w:sz w:val="28"/>
          <w:szCs w:val="28"/>
        </w:rPr>
      </w:pPr>
      <w:r w:rsidRPr="00156377">
        <w:rPr>
          <w:b/>
          <w:sz w:val="28"/>
          <w:szCs w:val="28"/>
        </w:rPr>
        <w:t>CỦA TỪNG THỦ TỤC HÀNH CHÍNH</w:t>
      </w:r>
    </w:p>
    <w:p w:rsidR="00BF0295" w:rsidRDefault="00BF0295"/>
    <w:p w:rsidR="00D1041B" w:rsidRPr="00156377" w:rsidRDefault="00D1041B" w:rsidP="00D1041B">
      <w:pPr>
        <w:keepNext/>
        <w:spacing w:before="80" w:after="80"/>
        <w:ind w:firstLine="540"/>
        <w:jc w:val="both"/>
        <w:rPr>
          <w:b/>
          <w:sz w:val="28"/>
          <w:szCs w:val="28"/>
        </w:rPr>
      </w:pPr>
      <w:r>
        <w:rPr>
          <w:b/>
          <w:sz w:val="28"/>
          <w:szCs w:val="28"/>
        </w:rPr>
        <w:t xml:space="preserve">I. Lĩnh vực </w:t>
      </w:r>
      <w:r w:rsidRPr="00156377">
        <w:rPr>
          <w:b/>
          <w:sz w:val="28"/>
          <w:szCs w:val="28"/>
        </w:rPr>
        <w:t>Đầu tư</w:t>
      </w:r>
    </w:p>
    <w:p w:rsidR="00D1041B" w:rsidRPr="00156377" w:rsidRDefault="00D1041B" w:rsidP="00D1041B">
      <w:pPr>
        <w:keepNext/>
        <w:spacing w:before="80" w:after="80"/>
        <w:ind w:firstLine="540"/>
        <w:jc w:val="both"/>
        <w:rPr>
          <w:b/>
          <w:sz w:val="28"/>
          <w:szCs w:val="28"/>
        </w:rPr>
      </w:pPr>
      <w:r>
        <w:rPr>
          <w:b/>
          <w:sz w:val="28"/>
          <w:szCs w:val="28"/>
        </w:rPr>
        <w:t xml:space="preserve">12. Thủ tục </w:t>
      </w:r>
      <w:r w:rsidRPr="00156377">
        <w:rPr>
          <w:b/>
          <w:sz w:val="28"/>
          <w:szCs w:val="28"/>
        </w:rPr>
        <w:t>Quyết toán dự án hoàn thành các dự án sử dụng vốn nhà nước thuộc thẩm quyền của Ủy ban nhân dân huyện</w:t>
      </w:r>
    </w:p>
    <w:p w:rsidR="00D1041B" w:rsidRDefault="00D1041B" w:rsidP="00D1041B">
      <w:pPr>
        <w:spacing w:before="80" w:after="80"/>
        <w:ind w:firstLine="540"/>
        <w:jc w:val="both"/>
        <w:rPr>
          <w:sz w:val="28"/>
          <w:szCs w:val="28"/>
        </w:rPr>
      </w:pPr>
      <w:r w:rsidRPr="00156377">
        <w:rPr>
          <w:b/>
          <w:sz w:val="28"/>
          <w:szCs w:val="28"/>
        </w:rPr>
        <w:t>a) Trình tự thực hiện</w:t>
      </w:r>
      <w:r w:rsidRPr="00156377">
        <w:rPr>
          <w:sz w:val="28"/>
          <w:szCs w:val="28"/>
        </w:rPr>
        <w:t>:</w:t>
      </w:r>
    </w:p>
    <w:p w:rsidR="00D1041B" w:rsidRPr="007A162F" w:rsidRDefault="00D1041B" w:rsidP="00D1041B">
      <w:pPr>
        <w:tabs>
          <w:tab w:val="left" w:pos="4592"/>
        </w:tabs>
        <w:spacing w:before="80" w:after="80"/>
        <w:ind w:firstLine="540"/>
        <w:jc w:val="both"/>
        <w:rPr>
          <w:sz w:val="28"/>
          <w:szCs w:val="28"/>
        </w:rPr>
      </w:pPr>
      <w:r w:rsidRPr="007A162F">
        <w:rPr>
          <w:sz w:val="28"/>
          <w:szCs w:val="28"/>
        </w:rPr>
        <w:t xml:space="preserve">- </w:t>
      </w:r>
      <w:r w:rsidRPr="007A162F">
        <w:rPr>
          <w:sz w:val="28"/>
          <w:szCs w:val="28"/>
          <w:lang w:val="vi-VN"/>
        </w:rPr>
        <w:t xml:space="preserve">Bước 1: </w:t>
      </w:r>
      <w:r w:rsidRPr="007A162F">
        <w:rPr>
          <w:sz w:val="28"/>
          <w:szCs w:val="28"/>
        </w:rPr>
        <w:t>Người yêu cầu giải quyết thủ tục chuẩn bị đầy đủ các giấy tờ theo thành phần, số lượng hồ sơ đã được quy định</w:t>
      </w:r>
      <w:r>
        <w:rPr>
          <w:sz w:val="28"/>
          <w:szCs w:val="28"/>
        </w:rPr>
        <w:t xml:space="preserve"> </w:t>
      </w:r>
      <w:r w:rsidRPr="00FB2CF7">
        <w:rPr>
          <w:sz w:val="28"/>
          <w:szCs w:val="28"/>
        </w:rPr>
        <w:t>tại thủ tục này.</w:t>
      </w:r>
    </w:p>
    <w:p w:rsidR="00D1041B" w:rsidRPr="007A162F" w:rsidRDefault="00D1041B" w:rsidP="00D1041B">
      <w:pPr>
        <w:spacing w:before="80" w:after="80"/>
        <w:ind w:firstLine="540"/>
        <w:jc w:val="both"/>
        <w:rPr>
          <w:sz w:val="28"/>
          <w:szCs w:val="28"/>
          <w:lang w:val="vi-VN"/>
        </w:rPr>
      </w:pPr>
      <w:r w:rsidRPr="007A162F">
        <w:rPr>
          <w:sz w:val="28"/>
          <w:szCs w:val="28"/>
        </w:rPr>
        <w:t xml:space="preserve">- </w:t>
      </w:r>
      <w:r w:rsidRPr="007A162F">
        <w:rPr>
          <w:sz w:val="28"/>
          <w:szCs w:val="28"/>
          <w:lang w:val="vi-VN"/>
        </w:rPr>
        <w:t>Bước 2: Nộp hồ sơ tại</w:t>
      </w:r>
      <w:r>
        <w:rPr>
          <w:sz w:val="28"/>
          <w:szCs w:val="28"/>
        </w:rPr>
        <w:t xml:space="preserve"> Bộ phận tiếp nhận và trả kết quả Phòng Tài chính – Kế hoạch các huyện, thị xã Long Khánh, thành phố Biên Hòa (gọi là tắt Phòng TCKH cấp huyện)</w:t>
      </w:r>
      <w:r>
        <w:rPr>
          <w:sz w:val="28"/>
          <w:szCs w:val="28"/>
          <w:lang w:val="vi-VN"/>
        </w:rPr>
        <w:t>; c</w:t>
      </w:r>
      <w:r w:rsidRPr="007A162F">
        <w:rPr>
          <w:sz w:val="28"/>
          <w:szCs w:val="28"/>
          <w:lang w:val="vi-VN"/>
        </w:rPr>
        <w:t>ông chức tiếp nhận hồ sơ có trách nhiệm hướng dẫn, kiểm tra tính pháp lý, tính đầy đủ nội dung hồ sơ:</w:t>
      </w:r>
    </w:p>
    <w:p w:rsidR="00D1041B" w:rsidRPr="007A162F" w:rsidRDefault="00D1041B" w:rsidP="00D1041B">
      <w:pPr>
        <w:spacing w:before="80" w:after="80"/>
        <w:ind w:firstLine="540"/>
        <w:jc w:val="both"/>
        <w:rPr>
          <w:sz w:val="28"/>
          <w:szCs w:val="28"/>
          <w:lang w:val="vi-VN"/>
        </w:rPr>
      </w:pPr>
      <w:r w:rsidRPr="007A162F">
        <w:rPr>
          <w:sz w:val="28"/>
          <w:szCs w:val="28"/>
          <w:lang w:val="vi-VN"/>
        </w:rPr>
        <w:t xml:space="preserve">+ Trường hợp hồ sơ thiếu, hoặc không hợp lệ: Hướng dẫn cụ thể </w:t>
      </w:r>
      <w:r w:rsidRPr="007A162F">
        <w:rPr>
          <w:i/>
          <w:sz w:val="28"/>
          <w:szCs w:val="28"/>
          <w:lang w:val="vi-VN"/>
        </w:rPr>
        <w:t>(01 lần, bằng Phiếu hướng dẫn)</w:t>
      </w:r>
      <w:r w:rsidRPr="007A162F">
        <w:rPr>
          <w:sz w:val="28"/>
          <w:szCs w:val="28"/>
          <w:lang w:val="vi-VN"/>
        </w:rPr>
        <w:t xml:space="preserve"> để đương sự biết cung cấp, bổ sung đúng quy định.</w:t>
      </w:r>
    </w:p>
    <w:p w:rsidR="00D1041B" w:rsidRPr="007A162F" w:rsidRDefault="00D1041B" w:rsidP="00D1041B">
      <w:pPr>
        <w:spacing w:before="80" w:after="80"/>
        <w:ind w:firstLine="540"/>
        <w:jc w:val="both"/>
        <w:rPr>
          <w:sz w:val="28"/>
          <w:szCs w:val="28"/>
          <w:lang w:val="vi-VN"/>
        </w:rPr>
      </w:pPr>
      <w:r w:rsidRPr="007A162F">
        <w:rPr>
          <w:sz w:val="28"/>
          <w:szCs w:val="28"/>
          <w:lang w:val="vi-VN"/>
        </w:rPr>
        <w:t xml:space="preserve">+ Trường hợp hồ sơ đầy đủ, hợp lệ: Tiếp nhận, in Phiếu biên nhận, hẹn ngày trả kết quả; chuyển giao hồ sơ về </w:t>
      </w:r>
      <w:r>
        <w:rPr>
          <w:sz w:val="28"/>
          <w:szCs w:val="28"/>
        </w:rPr>
        <w:t>bộ phận chuyên môn xử lý</w:t>
      </w:r>
      <w:r w:rsidRPr="007A162F">
        <w:rPr>
          <w:sz w:val="28"/>
          <w:szCs w:val="28"/>
          <w:lang w:val="vi-VN"/>
        </w:rPr>
        <w:t>.</w:t>
      </w:r>
    </w:p>
    <w:p w:rsidR="00D1041B" w:rsidRPr="0031597A" w:rsidRDefault="00D1041B" w:rsidP="00D1041B">
      <w:pPr>
        <w:spacing w:before="80" w:after="80"/>
        <w:ind w:firstLine="540"/>
        <w:jc w:val="both"/>
        <w:rPr>
          <w:sz w:val="28"/>
          <w:szCs w:val="28"/>
        </w:rPr>
      </w:pPr>
      <w:r w:rsidRPr="007A162F">
        <w:rPr>
          <w:sz w:val="28"/>
          <w:szCs w:val="28"/>
          <w:lang w:val="vi-VN"/>
        </w:rPr>
        <w:t xml:space="preserve">- Bước 3: </w:t>
      </w:r>
      <w:r>
        <w:rPr>
          <w:sz w:val="28"/>
          <w:szCs w:val="28"/>
        </w:rPr>
        <w:t>Bộ phận chuyên môn</w:t>
      </w:r>
      <w:r w:rsidRPr="007A162F">
        <w:rPr>
          <w:sz w:val="28"/>
          <w:szCs w:val="28"/>
          <w:lang w:val="vi-VN"/>
        </w:rPr>
        <w:t xml:space="preserve"> giải quyết, nhập t</w:t>
      </w:r>
      <w:r>
        <w:rPr>
          <w:sz w:val="28"/>
          <w:szCs w:val="28"/>
          <w:lang w:val="vi-VN"/>
        </w:rPr>
        <w:t xml:space="preserve">ình trạng giải quyết hồ sơ lên </w:t>
      </w:r>
      <w:r>
        <w:rPr>
          <w:sz w:val="28"/>
          <w:szCs w:val="28"/>
        </w:rPr>
        <w:t>P</w:t>
      </w:r>
      <w:r w:rsidRPr="007A162F">
        <w:rPr>
          <w:sz w:val="28"/>
          <w:szCs w:val="28"/>
          <w:lang w:val="vi-VN"/>
        </w:rPr>
        <w:t xml:space="preserve">hần mềm quản lý, giao kết quả hồ sơ về </w:t>
      </w:r>
      <w:r>
        <w:rPr>
          <w:sz w:val="28"/>
          <w:szCs w:val="28"/>
        </w:rPr>
        <w:t>bộ phận một cửa.</w:t>
      </w:r>
    </w:p>
    <w:p w:rsidR="00D1041B" w:rsidRDefault="00D1041B" w:rsidP="00D1041B">
      <w:pPr>
        <w:spacing w:before="80" w:after="80"/>
        <w:ind w:firstLine="540"/>
        <w:jc w:val="both"/>
        <w:rPr>
          <w:sz w:val="28"/>
          <w:szCs w:val="28"/>
          <w:lang w:val="vi-VN"/>
        </w:rPr>
      </w:pPr>
      <w:r w:rsidRPr="007A162F">
        <w:rPr>
          <w:sz w:val="28"/>
          <w:szCs w:val="28"/>
          <w:lang w:val="vi-VN"/>
        </w:rPr>
        <w:t xml:space="preserve">- Bước 4: </w:t>
      </w:r>
      <w:r>
        <w:rPr>
          <w:sz w:val="28"/>
          <w:szCs w:val="28"/>
        </w:rPr>
        <w:t xml:space="preserve">Bộ phận tiếp nhận và trả kết quả </w:t>
      </w:r>
      <w:r w:rsidRPr="007A162F">
        <w:rPr>
          <w:sz w:val="28"/>
          <w:szCs w:val="28"/>
          <w:lang w:val="vi-VN"/>
        </w:rPr>
        <w:t xml:space="preserve">có trách nhiệm giao trả kết quả trực tiếp </w:t>
      </w:r>
      <w:r w:rsidRPr="00FB2CF7">
        <w:rPr>
          <w:sz w:val="28"/>
          <w:szCs w:val="28"/>
          <w:lang w:val="vi-VN"/>
        </w:rPr>
        <w:t>hoặ</w:t>
      </w:r>
      <w:r>
        <w:rPr>
          <w:sz w:val="28"/>
          <w:szCs w:val="28"/>
          <w:lang w:val="vi-VN"/>
        </w:rPr>
        <w:t>c qua hệ thống bưu điện</w:t>
      </w:r>
      <w:r>
        <w:rPr>
          <w:sz w:val="28"/>
          <w:szCs w:val="28"/>
        </w:rPr>
        <w:t xml:space="preserve"> </w:t>
      </w:r>
      <w:r w:rsidRPr="007A162F">
        <w:rPr>
          <w:sz w:val="28"/>
          <w:szCs w:val="28"/>
          <w:lang w:val="vi-VN"/>
        </w:rPr>
        <w:t xml:space="preserve">cho đương sự. </w:t>
      </w:r>
    </w:p>
    <w:p w:rsidR="00D1041B" w:rsidRPr="0031597A" w:rsidRDefault="00D1041B" w:rsidP="00D1041B">
      <w:pPr>
        <w:spacing w:before="80" w:after="80"/>
        <w:ind w:firstLine="540"/>
        <w:jc w:val="both"/>
        <w:rPr>
          <w:sz w:val="28"/>
          <w:szCs w:val="28"/>
        </w:rPr>
      </w:pPr>
      <w:r w:rsidRPr="00156377">
        <w:rPr>
          <w:b/>
          <w:sz w:val="28"/>
          <w:szCs w:val="28"/>
        </w:rPr>
        <w:t>b) Cách thức thực hiện</w:t>
      </w:r>
      <w:r w:rsidRPr="00156377">
        <w:rPr>
          <w:sz w:val="28"/>
          <w:szCs w:val="28"/>
        </w:rPr>
        <w:t>:  Nộp trực tiếp</w:t>
      </w:r>
      <w:r w:rsidRPr="00156377">
        <w:rPr>
          <w:sz w:val="28"/>
          <w:szCs w:val="28"/>
          <w:lang w:val="vi-VN"/>
        </w:rPr>
        <w:t xml:space="preserve"> </w:t>
      </w:r>
      <w:r>
        <w:rPr>
          <w:sz w:val="28"/>
          <w:szCs w:val="28"/>
        </w:rPr>
        <w:t>tại bộ phận tiếp nhận và trả kết quả của Phòng TC-KH cấp huyện</w:t>
      </w:r>
    </w:p>
    <w:p w:rsidR="00D1041B" w:rsidRPr="00156377" w:rsidRDefault="00D1041B" w:rsidP="00D1041B">
      <w:pPr>
        <w:spacing w:before="80" w:after="80"/>
        <w:ind w:firstLine="540"/>
        <w:jc w:val="both"/>
        <w:rPr>
          <w:sz w:val="28"/>
          <w:szCs w:val="28"/>
        </w:rPr>
      </w:pPr>
      <w:r w:rsidRPr="00156377">
        <w:rPr>
          <w:b/>
          <w:sz w:val="28"/>
          <w:szCs w:val="28"/>
        </w:rPr>
        <w:t>c) Thành phần, số lượng hồ sơ</w:t>
      </w:r>
      <w:r w:rsidRPr="00156377">
        <w:rPr>
          <w:sz w:val="28"/>
          <w:szCs w:val="28"/>
        </w:rPr>
        <w:t>:</w:t>
      </w:r>
    </w:p>
    <w:p w:rsidR="00D1041B" w:rsidRPr="00C968B7" w:rsidRDefault="00D1041B" w:rsidP="00D1041B">
      <w:pPr>
        <w:spacing w:before="80" w:after="80"/>
        <w:ind w:firstLine="540"/>
        <w:jc w:val="both"/>
        <w:rPr>
          <w:b/>
          <w:i/>
          <w:sz w:val="28"/>
          <w:szCs w:val="28"/>
        </w:rPr>
      </w:pPr>
      <w:r w:rsidRPr="00C968B7">
        <w:rPr>
          <w:b/>
          <w:i/>
          <w:sz w:val="28"/>
          <w:szCs w:val="28"/>
        </w:rPr>
        <w:t>- Thành phần hồ sơ:</w:t>
      </w:r>
    </w:p>
    <w:p w:rsidR="00D1041B" w:rsidRDefault="00D1041B" w:rsidP="00D1041B">
      <w:pPr>
        <w:pStyle w:val="BodyTextIndent3"/>
        <w:spacing w:before="80" w:after="80"/>
        <w:ind w:firstLine="540"/>
        <w:rPr>
          <w:rFonts w:ascii="Times New Roman" w:hAnsi="Times New Roman" w:cs="Times New Roman"/>
        </w:rPr>
      </w:pPr>
      <w:r w:rsidRPr="001C16D2">
        <w:rPr>
          <w:rFonts w:ascii="Times New Roman" w:hAnsi="Times New Roman" w:cs="Times New Roman"/>
        </w:rPr>
        <w:t xml:space="preserve">Đối với dự án, công trình, hạng mục công trình hoàn thành: </w:t>
      </w:r>
    </w:p>
    <w:p w:rsidR="00D1041B"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rPr>
        <w:t xml:space="preserve">+ </w:t>
      </w:r>
      <w:r w:rsidRPr="001C16D2">
        <w:rPr>
          <w:rFonts w:ascii="Times New Roman" w:hAnsi="Times New Roman" w:cs="Times New Roman"/>
        </w:rPr>
        <w:t xml:space="preserve">Tờ trình đề nghị phê duyệt quyết toán của chủ đầu tư </w:t>
      </w:r>
      <w:r w:rsidRPr="001C16D2">
        <w:rPr>
          <w:rFonts w:ascii="Times New Roman" w:hAnsi="Times New Roman" w:cs="Times New Roman"/>
          <w:i/>
        </w:rPr>
        <w:t>(bản gốc)</w:t>
      </w:r>
      <w:r w:rsidRPr="001C16D2">
        <w:rPr>
          <w:rFonts w:ascii="Times New Roman" w:hAnsi="Times New Roman" w:cs="Times New Roman"/>
        </w:rPr>
        <w:t xml:space="preserve">; </w:t>
      </w:r>
    </w:p>
    <w:p w:rsidR="00D1041B" w:rsidRDefault="00D1041B" w:rsidP="00D1041B">
      <w:pPr>
        <w:pStyle w:val="BodyTextIndent3"/>
        <w:spacing w:before="80" w:after="80"/>
        <w:ind w:firstLine="540"/>
        <w:rPr>
          <w:rFonts w:ascii="Times New Roman" w:hAnsi="Times New Roman" w:cs="Times New Roman"/>
          <w:i/>
          <w:iCs/>
        </w:rPr>
      </w:pPr>
      <w:r w:rsidRPr="00BA359E">
        <w:rPr>
          <w:rFonts w:ascii="Times New Roman" w:hAnsi="Times New Roman" w:cs="Times New Roman"/>
        </w:rPr>
        <w:t xml:space="preserve">+ </w:t>
      </w:r>
      <w:r w:rsidRPr="00BA359E">
        <w:rPr>
          <w:rFonts w:ascii="Times New Roman" w:hAnsi="Times New Roman" w:cs="Times New Roman"/>
          <w:iCs/>
        </w:rPr>
        <w:t>Báo cáo quyết toán dự án hoàn thành</w:t>
      </w:r>
      <w:r w:rsidRPr="001C16D2">
        <w:rPr>
          <w:rFonts w:ascii="Times New Roman" w:hAnsi="Times New Roman" w:cs="Times New Roman"/>
          <w:i/>
          <w:iCs/>
        </w:rPr>
        <w:t xml:space="preserve"> </w:t>
      </w:r>
      <w:r w:rsidRPr="001C16D2">
        <w:rPr>
          <w:rFonts w:ascii="Times New Roman" w:hAnsi="Times New Roman" w:cs="Times New Roman"/>
          <w:iCs/>
        </w:rPr>
        <w:t>(bản gốc)</w:t>
      </w:r>
      <w:r w:rsidRPr="001C16D2">
        <w:rPr>
          <w:rFonts w:ascii="Times New Roman" w:hAnsi="Times New Roman" w:cs="Times New Roman"/>
          <w:i/>
          <w:iCs/>
        </w:rPr>
        <w:t xml:space="preserve">; </w:t>
      </w:r>
    </w:p>
    <w:p w:rsidR="00D1041B"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i/>
          <w:iCs/>
        </w:rPr>
        <w:t xml:space="preserve">+ </w:t>
      </w:r>
      <w:r w:rsidRPr="001C16D2">
        <w:rPr>
          <w:rFonts w:ascii="Times New Roman" w:hAnsi="Times New Roman" w:cs="Times New Roman"/>
        </w:rPr>
        <w:t xml:space="preserve">Các văn bản pháp lý có liên quan theo Mẫu số 02/QTDA </w:t>
      </w:r>
      <w:r w:rsidRPr="001C16D2">
        <w:rPr>
          <w:rFonts w:ascii="Times New Roman" w:hAnsi="Times New Roman" w:cs="Times New Roman"/>
          <w:i/>
        </w:rPr>
        <w:t>(bản sao)</w:t>
      </w:r>
      <w:r w:rsidRPr="001C16D2">
        <w:rPr>
          <w:rFonts w:ascii="Times New Roman" w:hAnsi="Times New Roman" w:cs="Times New Roman"/>
        </w:rPr>
        <w:t>;</w:t>
      </w:r>
    </w:p>
    <w:p w:rsidR="00D1041B"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rPr>
        <w:t xml:space="preserve">+ </w:t>
      </w:r>
      <w:r w:rsidRPr="001C16D2">
        <w:rPr>
          <w:rFonts w:ascii="Times New Roman" w:hAnsi="Times New Roman" w:cs="Times New Roman"/>
        </w:rPr>
        <w:t>Các hợp đồng kinh tế, biên bản thanh lý hợp đồng giữa chủ đầu tư với các nhà thầu thực hiện dự án (bản gốc hoặc bản sao);</w:t>
      </w:r>
    </w:p>
    <w:p w:rsidR="00D1041B"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rPr>
        <w:t>+</w:t>
      </w:r>
      <w:r w:rsidRPr="001C16D2">
        <w:rPr>
          <w:rFonts w:ascii="Times New Roman" w:hAnsi="Times New Roman" w:cs="Times New Roman"/>
        </w:rPr>
        <w:t xml:space="preserve"> Các biên bản nghiệm thu hoàn thành từng bộ phận công trình, giai đoạn thi công xây dựng công trình, nghiệm thu lắp đặt thiết bị; </w:t>
      </w:r>
    </w:p>
    <w:p w:rsidR="00D1041B"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rPr>
        <w:lastRenderedPageBreak/>
        <w:t xml:space="preserve">+ Các </w:t>
      </w:r>
      <w:r w:rsidRPr="001C16D2">
        <w:rPr>
          <w:rFonts w:ascii="Times New Roman" w:hAnsi="Times New Roman" w:cs="Times New Roman"/>
        </w:rPr>
        <w:t xml:space="preserve">Biên bản nghiệm thu hoàn thành dự án, công trình hoặc hạng mục công trình để đưa vào sử dụng (bản gốc hoặc bản sao); </w:t>
      </w:r>
    </w:p>
    <w:p w:rsidR="00D1041B"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rPr>
        <w:t xml:space="preserve">+ </w:t>
      </w:r>
      <w:r w:rsidRPr="001C16D2">
        <w:rPr>
          <w:rFonts w:ascii="Times New Roman" w:hAnsi="Times New Roman" w:cs="Times New Roman"/>
        </w:rPr>
        <w:t xml:space="preserve">Toàn bộ các bản quyết toán khối lượng A-B </w:t>
      </w:r>
      <w:r w:rsidRPr="001C16D2">
        <w:rPr>
          <w:rFonts w:ascii="Times New Roman" w:hAnsi="Times New Roman" w:cs="Times New Roman"/>
          <w:i/>
        </w:rPr>
        <w:t>(bản gốc)</w:t>
      </w:r>
      <w:r w:rsidRPr="001C16D2">
        <w:rPr>
          <w:rFonts w:ascii="Times New Roman" w:hAnsi="Times New Roman" w:cs="Times New Roman"/>
        </w:rPr>
        <w:t xml:space="preserve">; </w:t>
      </w:r>
    </w:p>
    <w:p w:rsidR="00D1041B"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rPr>
        <w:t xml:space="preserve">+ </w:t>
      </w:r>
      <w:r w:rsidRPr="001C16D2">
        <w:rPr>
          <w:rFonts w:ascii="Times New Roman" w:hAnsi="Times New Roman" w:cs="Times New Roman"/>
        </w:rPr>
        <w:t xml:space="preserve">Báo cáo kết quả kiểm toán, quyết toán dự án hoàn thành </w:t>
      </w:r>
      <w:r w:rsidRPr="001C16D2">
        <w:rPr>
          <w:rFonts w:ascii="Times New Roman" w:hAnsi="Times New Roman" w:cs="Times New Roman"/>
          <w:i/>
        </w:rPr>
        <w:t>(kèm văn bản của chủ đầu tư về kết quả kiểm toán có nội dung thống nhất, nội dung không thống nhất, kiến nghị)</w:t>
      </w:r>
      <w:r>
        <w:rPr>
          <w:rFonts w:ascii="Times New Roman" w:hAnsi="Times New Roman" w:cs="Times New Roman"/>
        </w:rPr>
        <w:t>;</w:t>
      </w:r>
    </w:p>
    <w:p w:rsidR="00D1041B" w:rsidRPr="00156377" w:rsidRDefault="00D1041B" w:rsidP="00D1041B">
      <w:pPr>
        <w:pStyle w:val="BodyTextIndent3"/>
        <w:spacing w:before="80" w:after="80"/>
        <w:ind w:firstLine="540"/>
        <w:rPr>
          <w:rFonts w:ascii="Times New Roman" w:hAnsi="Times New Roman" w:cs="Times New Roman"/>
        </w:rPr>
      </w:pPr>
      <w:r>
        <w:rPr>
          <w:rFonts w:ascii="Times New Roman" w:hAnsi="Times New Roman" w:cs="Times New Roman"/>
        </w:rPr>
        <w:t xml:space="preserve">+ </w:t>
      </w:r>
      <w:r w:rsidRPr="001C16D2">
        <w:rPr>
          <w:rFonts w:ascii="Times New Roman" w:hAnsi="Times New Roman" w:cs="Times New Roman"/>
        </w:rPr>
        <w:t>Kết luận thanh tra, Biên bản kiểm tra, B</w:t>
      </w:r>
      <w:r w:rsidRPr="00BA359E">
        <w:rPr>
          <w:rFonts w:ascii="Times New Roman" w:hAnsi="Times New Roman" w:cs="Times New Roman"/>
        </w:rPr>
        <w:t>áo cáo kiểm toán của các cơ quan: Thanh tra, Kiểm tra, Kiểm toán Nhà nước</w:t>
      </w:r>
      <w:r w:rsidRPr="00156377">
        <w:rPr>
          <w:rFonts w:ascii="Times New Roman" w:hAnsi="Times New Roman" w:cs="Times New Roman"/>
        </w:rPr>
        <w:t xml:space="preserve"> </w:t>
      </w:r>
      <w:r w:rsidRPr="00156377">
        <w:rPr>
          <w:rFonts w:ascii="Times New Roman" w:hAnsi="Times New Roman" w:cs="Times New Roman"/>
          <w:i/>
        </w:rPr>
        <w:t>(nếu có);</w:t>
      </w:r>
      <w:r w:rsidRPr="00156377">
        <w:rPr>
          <w:rFonts w:ascii="Times New Roman" w:hAnsi="Times New Roman" w:cs="Times New Roman"/>
        </w:rPr>
        <w:t xml:space="preserve"> kèm theo báo cáo tình hình chấp hành các báo cáo trên của chủ đầu tư.</w:t>
      </w:r>
    </w:p>
    <w:p w:rsidR="00D1041B" w:rsidRPr="00156377" w:rsidRDefault="00D1041B" w:rsidP="00D1041B">
      <w:pPr>
        <w:spacing w:before="80" w:after="80"/>
        <w:ind w:firstLine="540"/>
        <w:jc w:val="both"/>
        <w:rPr>
          <w:sz w:val="28"/>
          <w:szCs w:val="28"/>
        </w:rPr>
      </w:pPr>
      <w:r w:rsidRPr="00156377">
        <w:rPr>
          <w:sz w:val="28"/>
          <w:szCs w:val="28"/>
        </w:rPr>
        <w:t>Đối với dự án quy hoạch; chi phí chuẩn bị đầu tư của dự án được huỷ bỏ theo quyết định của cấp có thẩm quyền:</w:t>
      </w:r>
    </w:p>
    <w:p w:rsidR="00D1041B" w:rsidRPr="00156377" w:rsidRDefault="00D1041B" w:rsidP="00D1041B">
      <w:pPr>
        <w:pStyle w:val="BodyTextIndent2"/>
        <w:spacing w:before="80" w:after="80" w:line="240" w:lineRule="auto"/>
        <w:ind w:firstLine="540"/>
        <w:rPr>
          <w:rFonts w:ascii="Times New Roman" w:hAnsi="Times New Roman" w:cs="Times New Roman"/>
          <w:i w:val="0"/>
          <w:iCs w:val="0"/>
        </w:rPr>
      </w:pPr>
      <w:r w:rsidRPr="00156377">
        <w:rPr>
          <w:rFonts w:ascii="Times New Roman" w:hAnsi="Times New Roman" w:cs="Times New Roman"/>
          <w:i w:val="0"/>
          <w:iCs w:val="0"/>
        </w:rPr>
        <w:t xml:space="preserve">+ Tờ trình đề nghị phê </w:t>
      </w:r>
      <w:r>
        <w:rPr>
          <w:rFonts w:ascii="Times New Roman" w:hAnsi="Times New Roman" w:cs="Times New Roman"/>
          <w:i w:val="0"/>
          <w:iCs w:val="0"/>
        </w:rPr>
        <w:t>duyệt quyết toán của chủ đầu tư;</w:t>
      </w:r>
    </w:p>
    <w:p w:rsidR="00D1041B" w:rsidRPr="00156377" w:rsidRDefault="00D1041B" w:rsidP="00D1041B">
      <w:pPr>
        <w:pStyle w:val="BodyTextIndent2"/>
        <w:spacing w:before="80" w:after="80" w:line="240" w:lineRule="auto"/>
        <w:ind w:firstLine="540"/>
        <w:rPr>
          <w:rFonts w:ascii="Times New Roman" w:hAnsi="Times New Roman" w:cs="Times New Roman"/>
          <w:i w:val="0"/>
          <w:iCs w:val="0"/>
        </w:rPr>
      </w:pPr>
      <w:r w:rsidRPr="00156377">
        <w:rPr>
          <w:rFonts w:ascii="Times New Roman" w:hAnsi="Times New Roman" w:cs="Times New Roman"/>
          <w:i w:val="0"/>
          <w:iCs w:val="0"/>
        </w:rPr>
        <w:t>+ Báo cáo quyết toán.</w:t>
      </w:r>
    </w:p>
    <w:p w:rsidR="00D1041B" w:rsidRPr="00156377" w:rsidRDefault="00D1041B" w:rsidP="00D1041B">
      <w:pPr>
        <w:pStyle w:val="BodyTextIndent2"/>
        <w:spacing w:before="80" w:after="80" w:line="240" w:lineRule="auto"/>
        <w:ind w:firstLine="540"/>
        <w:rPr>
          <w:rFonts w:ascii="Times New Roman" w:hAnsi="Times New Roman" w:cs="Times New Roman"/>
          <w:i w:val="0"/>
          <w:iCs w:val="0"/>
        </w:rPr>
      </w:pPr>
      <w:r w:rsidRPr="00156377">
        <w:rPr>
          <w:rFonts w:ascii="Times New Roman" w:hAnsi="Times New Roman" w:cs="Times New Roman"/>
          <w:i w:val="0"/>
          <w:iCs w:val="0"/>
        </w:rPr>
        <w:t xml:space="preserve">+ Tập các văn bản pháp lý có liên quan (bản sao). </w:t>
      </w:r>
    </w:p>
    <w:p w:rsidR="00D1041B" w:rsidRPr="00156377" w:rsidRDefault="00D1041B" w:rsidP="00D1041B">
      <w:pPr>
        <w:spacing w:before="80" w:after="80"/>
        <w:ind w:firstLine="540"/>
        <w:jc w:val="both"/>
        <w:rPr>
          <w:sz w:val="28"/>
          <w:szCs w:val="28"/>
        </w:rPr>
      </w:pPr>
      <w:r w:rsidRPr="00156377">
        <w:rPr>
          <w:sz w:val="28"/>
          <w:szCs w:val="28"/>
        </w:rPr>
        <w:t>+ Các hợp đồng kinh tế giữa chủ đầu tư với các nhà thầu; biên bản nghiệm thu thanh lý hợp đồng (bản sao).</w:t>
      </w:r>
    </w:p>
    <w:p w:rsidR="00D1041B" w:rsidRPr="00156377" w:rsidRDefault="00D1041B" w:rsidP="00D1041B">
      <w:pPr>
        <w:pStyle w:val="BodyTextIndent"/>
        <w:spacing w:before="80" w:after="80" w:line="240" w:lineRule="auto"/>
        <w:ind w:firstLine="540"/>
        <w:jc w:val="both"/>
        <w:rPr>
          <w:rFonts w:ascii="Times New Roman" w:hAnsi="Times New Roman" w:cs="Times New Roman"/>
          <w:b/>
          <w:bCs/>
        </w:rPr>
      </w:pPr>
      <w:r w:rsidRPr="00156377">
        <w:rPr>
          <w:rFonts w:ascii="Times New Roman" w:hAnsi="Times New Roman" w:cs="Times New Roman"/>
          <w:b/>
        </w:rPr>
        <w:t>Lưu ý</w:t>
      </w:r>
      <w:r w:rsidRPr="00156377">
        <w:rPr>
          <w:rFonts w:ascii="Times New Roman" w:hAnsi="Times New Roman" w:cs="Times New Roman"/>
        </w:rPr>
        <w:t xml:space="preserve">: </w:t>
      </w:r>
      <w:r w:rsidRPr="00156377">
        <w:rPr>
          <w:rFonts w:ascii="Times New Roman" w:hAnsi="Times New Roman" w:cs="Times New Roman"/>
          <w:i/>
        </w:rPr>
        <w:t>Trong quá trình thẩm tra, chủ đầu tư có trách nhiệm xuất trình các tài liệu khác có liên quan đến quyết toán vốn đầu tư của dự án khi được cơ quan thẩm tra quyết toán yêu cầu</w:t>
      </w:r>
      <w:r w:rsidRPr="00156377">
        <w:rPr>
          <w:rFonts w:ascii="Times New Roman" w:hAnsi="Times New Roman" w:cs="Times New Roman"/>
        </w:rPr>
        <w:t xml:space="preserve">. </w:t>
      </w:r>
    </w:p>
    <w:p w:rsidR="00D1041B" w:rsidRPr="00156377" w:rsidRDefault="00D1041B" w:rsidP="00D1041B">
      <w:pPr>
        <w:spacing w:before="80" w:after="80"/>
        <w:ind w:firstLine="540"/>
        <w:jc w:val="both"/>
        <w:rPr>
          <w:sz w:val="28"/>
          <w:szCs w:val="28"/>
        </w:rPr>
      </w:pPr>
      <w:r w:rsidRPr="00C968B7">
        <w:rPr>
          <w:b/>
          <w:i/>
          <w:sz w:val="28"/>
          <w:szCs w:val="28"/>
        </w:rPr>
        <w:t>- Số lượng hồ sơ:</w:t>
      </w:r>
      <w:r w:rsidRPr="00156377">
        <w:rPr>
          <w:sz w:val="28"/>
          <w:szCs w:val="28"/>
        </w:rPr>
        <w:t xml:space="preserve"> 01 (bộ)</w:t>
      </w:r>
      <w:r>
        <w:rPr>
          <w:sz w:val="28"/>
          <w:szCs w:val="28"/>
        </w:rPr>
        <w:t>.</w:t>
      </w:r>
    </w:p>
    <w:p w:rsidR="00D1041B" w:rsidRPr="00156377" w:rsidRDefault="00D1041B" w:rsidP="00D1041B">
      <w:pPr>
        <w:keepNext/>
        <w:spacing w:before="80" w:after="80"/>
        <w:ind w:firstLine="540"/>
        <w:jc w:val="both"/>
        <w:rPr>
          <w:b/>
          <w:sz w:val="28"/>
          <w:szCs w:val="28"/>
        </w:rPr>
      </w:pPr>
      <w:r w:rsidRPr="00156377">
        <w:rPr>
          <w:b/>
          <w:sz w:val="28"/>
          <w:szCs w:val="28"/>
        </w:rPr>
        <w:t>d) Thời hạn giải quyết</w:t>
      </w:r>
      <w:r w:rsidRPr="00156377">
        <w:rPr>
          <w:sz w:val="28"/>
          <w:szCs w:val="28"/>
        </w:rPr>
        <w:t>:</w:t>
      </w:r>
    </w:p>
    <w:p w:rsidR="00D1041B" w:rsidRPr="00156377" w:rsidRDefault="00D1041B" w:rsidP="00D1041B">
      <w:pPr>
        <w:spacing w:before="80" w:after="80"/>
        <w:ind w:firstLine="540"/>
        <w:jc w:val="both"/>
        <w:rPr>
          <w:sz w:val="28"/>
          <w:szCs w:val="28"/>
        </w:rPr>
      </w:pPr>
      <w:r w:rsidRPr="00156377">
        <w:rPr>
          <w:sz w:val="28"/>
          <w:szCs w:val="28"/>
        </w:rPr>
        <w:t>- Đối với dự án nhóm A: Thời gian không quá 4 tháng;</w:t>
      </w:r>
    </w:p>
    <w:p w:rsidR="00D1041B" w:rsidRPr="00156377" w:rsidRDefault="00D1041B" w:rsidP="00D1041B">
      <w:pPr>
        <w:spacing w:before="80" w:after="80"/>
        <w:ind w:firstLine="540"/>
        <w:jc w:val="both"/>
        <w:rPr>
          <w:sz w:val="28"/>
          <w:szCs w:val="28"/>
        </w:rPr>
      </w:pPr>
      <w:r w:rsidRPr="00156377">
        <w:rPr>
          <w:sz w:val="28"/>
          <w:szCs w:val="28"/>
        </w:rPr>
        <w:t>- Đối với dự án nhóm B: Thời gian không quá 2 tháng;</w:t>
      </w:r>
    </w:p>
    <w:p w:rsidR="00D1041B" w:rsidRPr="00156377" w:rsidRDefault="00D1041B" w:rsidP="00D1041B">
      <w:pPr>
        <w:spacing w:before="80" w:after="80"/>
        <w:ind w:firstLine="540"/>
        <w:jc w:val="both"/>
        <w:rPr>
          <w:sz w:val="28"/>
          <w:szCs w:val="28"/>
        </w:rPr>
      </w:pPr>
      <w:r w:rsidRPr="00156377">
        <w:rPr>
          <w:sz w:val="28"/>
          <w:szCs w:val="28"/>
        </w:rPr>
        <w:t xml:space="preserve">- Đối với dự án nhóm C </w:t>
      </w:r>
      <w:r w:rsidRPr="00156377">
        <w:rPr>
          <w:i/>
          <w:sz w:val="28"/>
          <w:szCs w:val="28"/>
        </w:rPr>
        <w:t>(gồm dự án không khả thi, dự án quy hoạch)</w:t>
      </w:r>
      <w:r w:rsidRPr="00156377">
        <w:rPr>
          <w:sz w:val="28"/>
          <w:szCs w:val="28"/>
        </w:rPr>
        <w:t>: Thời gian không quá 1 tháng.</w:t>
      </w:r>
    </w:p>
    <w:p w:rsidR="00D1041B" w:rsidRPr="00156377" w:rsidRDefault="00D1041B" w:rsidP="00D1041B">
      <w:pPr>
        <w:keepNext/>
        <w:spacing w:before="80" w:after="80"/>
        <w:ind w:firstLine="540"/>
        <w:jc w:val="both"/>
        <w:rPr>
          <w:b/>
          <w:sz w:val="28"/>
          <w:szCs w:val="28"/>
        </w:rPr>
      </w:pPr>
      <w:r w:rsidRPr="00156377">
        <w:rPr>
          <w:b/>
          <w:sz w:val="28"/>
          <w:szCs w:val="28"/>
        </w:rPr>
        <w:t>e) Cơ quan thực hiện TTHC</w:t>
      </w:r>
      <w:r w:rsidRPr="00156377">
        <w:rPr>
          <w:sz w:val="28"/>
          <w:szCs w:val="28"/>
        </w:rPr>
        <w:t>:</w:t>
      </w:r>
    </w:p>
    <w:p w:rsidR="00D1041B" w:rsidRPr="00156377" w:rsidRDefault="00D1041B" w:rsidP="00D1041B">
      <w:pPr>
        <w:spacing w:before="80" w:after="80"/>
        <w:ind w:firstLine="540"/>
        <w:jc w:val="both"/>
        <w:rPr>
          <w:i/>
          <w:sz w:val="28"/>
          <w:szCs w:val="28"/>
        </w:rPr>
      </w:pPr>
      <w:r w:rsidRPr="00156377">
        <w:rPr>
          <w:sz w:val="28"/>
          <w:szCs w:val="28"/>
        </w:rPr>
        <w:t xml:space="preserve">- Cơ quan có thẩm quyền quyết định: Ủy ban nhân dân tỉnh </w:t>
      </w:r>
      <w:r w:rsidRPr="00156377">
        <w:rPr>
          <w:i/>
          <w:sz w:val="28"/>
          <w:szCs w:val="28"/>
        </w:rPr>
        <w:t>(đối với Dự án có tổng mức đầu tư ≥ 7 tỷ đồng)</w:t>
      </w:r>
      <w:r w:rsidRPr="00156377">
        <w:rPr>
          <w:sz w:val="28"/>
          <w:szCs w:val="28"/>
        </w:rPr>
        <w:t xml:space="preserve">; Sở tài chính </w:t>
      </w:r>
      <w:r w:rsidRPr="00156377">
        <w:rPr>
          <w:i/>
          <w:sz w:val="28"/>
          <w:szCs w:val="28"/>
        </w:rPr>
        <w:t>(đối với Dự án có tổng mức đầu tư &lt; 7 tỷ đồng)</w:t>
      </w:r>
      <w:r w:rsidRPr="00156377">
        <w:rPr>
          <w:sz w:val="28"/>
          <w:szCs w:val="28"/>
        </w:rPr>
        <w:t xml:space="preserve">; Phòng Tài chính các huyện thị xã Long Khánh và thành phố Biên Hòa </w:t>
      </w:r>
      <w:r w:rsidRPr="00156377">
        <w:rPr>
          <w:i/>
          <w:sz w:val="28"/>
          <w:szCs w:val="28"/>
        </w:rPr>
        <w:t>(đối với dự án sử dụng vốn ngân sách nhà nước thuộc cấp huyện và thành phố Biên Hòa quản lý).</w:t>
      </w:r>
    </w:p>
    <w:p w:rsidR="00D1041B" w:rsidRPr="00156377" w:rsidRDefault="00D1041B" w:rsidP="00D1041B">
      <w:pPr>
        <w:spacing w:before="80" w:after="80"/>
        <w:ind w:firstLine="540"/>
        <w:jc w:val="both"/>
        <w:rPr>
          <w:sz w:val="28"/>
          <w:szCs w:val="28"/>
        </w:rPr>
      </w:pPr>
      <w:r w:rsidRPr="00156377">
        <w:rPr>
          <w:sz w:val="28"/>
          <w:szCs w:val="28"/>
        </w:rPr>
        <w:t xml:space="preserve">- Cơ quan hoặc người có thẩm quyền được uỷ quyền hoặc phân cấp thực hiện: Sở Tài chính </w:t>
      </w:r>
      <w:r w:rsidRPr="00156377">
        <w:rPr>
          <w:i/>
          <w:sz w:val="28"/>
          <w:szCs w:val="28"/>
        </w:rPr>
        <w:t>(đối với các dự án có tổng mức đầu tư &lt; 7 tỷ đồng)</w:t>
      </w:r>
      <w:r w:rsidRPr="00156377">
        <w:rPr>
          <w:sz w:val="28"/>
          <w:szCs w:val="28"/>
        </w:rPr>
        <w:t>.</w:t>
      </w:r>
    </w:p>
    <w:p w:rsidR="00D1041B" w:rsidRPr="00156377" w:rsidRDefault="00D1041B" w:rsidP="00D1041B">
      <w:pPr>
        <w:spacing w:before="80" w:after="80"/>
        <w:ind w:firstLine="540"/>
        <w:jc w:val="both"/>
        <w:rPr>
          <w:sz w:val="28"/>
          <w:szCs w:val="28"/>
        </w:rPr>
      </w:pPr>
      <w:r w:rsidRPr="00156377">
        <w:rPr>
          <w:sz w:val="28"/>
          <w:szCs w:val="28"/>
        </w:rPr>
        <w:t xml:space="preserve">- Cơ quan trực tiếp thực hiện TTHC: Phòng Tài chính </w:t>
      </w:r>
      <w:r>
        <w:rPr>
          <w:sz w:val="28"/>
          <w:szCs w:val="28"/>
        </w:rPr>
        <w:t>– Kế hoạch cấp huyện</w:t>
      </w:r>
    </w:p>
    <w:p w:rsidR="00D1041B" w:rsidRPr="00156377" w:rsidRDefault="00D1041B" w:rsidP="00D1041B">
      <w:pPr>
        <w:spacing w:before="80" w:after="80"/>
        <w:ind w:firstLine="540"/>
        <w:jc w:val="both"/>
        <w:rPr>
          <w:sz w:val="28"/>
          <w:szCs w:val="28"/>
        </w:rPr>
      </w:pPr>
      <w:r w:rsidRPr="00156377">
        <w:rPr>
          <w:sz w:val="28"/>
          <w:szCs w:val="28"/>
        </w:rPr>
        <w:lastRenderedPageBreak/>
        <w:t>- Cơ quan phối hợp (nếu có): Sở Kế hoạch và Đầu tư; Sở Xây dựng; Kho bạc Nhà nước các huyện thị xã Long Khánh và thành phố Biên Hòa, cơ quan chuyên ngành và Tổ Tư vấn thẩm tra quyết toán.</w:t>
      </w:r>
    </w:p>
    <w:p w:rsidR="00D1041B" w:rsidRPr="00156377" w:rsidRDefault="00D1041B" w:rsidP="00D1041B">
      <w:pPr>
        <w:spacing w:before="80" w:after="80"/>
        <w:ind w:firstLine="540"/>
        <w:jc w:val="both"/>
        <w:rPr>
          <w:sz w:val="28"/>
          <w:szCs w:val="28"/>
        </w:rPr>
      </w:pPr>
      <w:r>
        <w:rPr>
          <w:b/>
          <w:sz w:val="28"/>
          <w:szCs w:val="28"/>
        </w:rPr>
        <w:t>f</w:t>
      </w:r>
      <w:r w:rsidRPr="00156377">
        <w:rPr>
          <w:b/>
          <w:sz w:val="28"/>
          <w:szCs w:val="28"/>
        </w:rPr>
        <w:t>)</w:t>
      </w:r>
      <w:r w:rsidRPr="00156377">
        <w:rPr>
          <w:sz w:val="28"/>
          <w:szCs w:val="28"/>
        </w:rPr>
        <w:t xml:space="preserve"> </w:t>
      </w:r>
      <w:r w:rsidRPr="00156377">
        <w:rPr>
          <w:b/>
          <w:sz w:val="28"/>
          <w:szCs w:val="28"/>
        </w:rPr>
        <w:t>Đối tượng thực hiện</w:t>
      </w:r>
      <w:r w:rsidRPr="00156377">
        <w:rPr>
          <w:sz w:val="28"/>
          <w:szCs w:val="28"/>
        </w:rPr>
        <w:t>: Tổ chức.</w:t>
      </w:r>
    </w:p>
    <w:p w:rsidR="00D1041B" w:rsidRPr="00156377" w:rsidRDefault="00D1041B" w:rsidP="00D1041B">
      <w:pPr>
        <w:spacing w:before="80" w:after="80"/>
        <w:ind w:firstLine="540"/>
        <w:jc w:val="both"/>
        <w:rPr>
          <w:sz w:val="28"/>
          <w:szCs w:val="28"/>
        </w:rPr>
      </w:pPr>
      <w:r>
        <w:rPr>
          <w:b/>
          <w:sz w:val="28"/>
          <w:szCs w:val="28"/>
        </w:rPr>
        <w:t>g</w:t>
      </w:r>
      <w:r w:rsidRPr="00156377">
        <w:rPr>
          <w:b/>
          <w:sz w:val="28"/>
          <w:szCs w:val="28"/>
        </w:rPr>
        <w:t>)</w:t>
      </w:r>
      <w:r w:rsidRPr="00156377">
        <w:rPr>
          <w:sz w:val="28"/>
          <w:szCs w:val="28"/>
        </w:rPr>
        <w:t xml:space="preserve"> </w:t>
      </w:r>
      <w:r w:rsidRPr="00156377">
        <w:rPr>
          <w:b/>
          <w:sz w:val="28"/>
          <w:szCs w:val="28"/>
        </w:rPr>
        <w:t>Mẫu đơn, mẫu tờ khai</w:t>
      </w:r>
      <w:r w:rsidRPr="00156377">
        <w:rPr>
          <w:sz w:val="28"/>
          <w:szCs w:val="28"/>
        </w:rPr>
        <w:t>: Không.</w:t>
      </w:r>
    </w:p>
    <w:p w:rsidR="00D1041B" w:rsidRPr="00156377" w:rsidRDefault="00D1041B" w:rsidP="00D1041B">
      <w:pPr>
        <w:spacing w:before="80" w:after="80"/>
        <w:ind w:firstLine="540"/>
        <w:jc w:val="both"/>
        <w:rPr>
          <w:sz w:val="28"/>
          <w:szCs w:val="28"/>
        </w:rPr>
      </w:pPr>
      <w:r>
        <w:rPr>
          <w:b/>
          <w:sz w:val="28"/>
          <w:szCs w:val="28"/>
        </w:rPr>
        <w:t>h</w:t>
      </w:r>
      <w:r w:rsidRPr="00156377">
        <w:rPr>
          <w:b/>
          <w:sz w:val="28"/>
          <w:szCs w:val="28"/>
        </w:rPr>
        <w:t>) Phí, lệ phí:</w:t>
      </w:r>
      <w:r w:rsidRPr="00156377">
        <w:rPr>
          <w:sz w:val="28"/>
          <w:szCs w:val="28"/>
        </w:rPr>
        <w:t xml:space="preserve"> </w:t>
      </w:r>
      <w:r>
        <w:rPr>
          <w:sz w:val="28"/>
          <w:szCs w:val="28"/>
        </w:rPr>
        <w:t>Không</w:t>
      </w:r>
    </w:p>
    <w:p w:rsidR="00D1041B" w:rsidRPr="00156377" w:rsidRDefault="00D1041B" w:rsidP="00D1041B">
      <w:pPr>
        <w:spacing w:before="80" w:after="80"/>
        <w:ind w:firstLine="540"/>
        <w:jc w:val="both"/>
        <w:rPr>
          <w:sz w:val="28"/>
          <w:szCs w:val="28"/>
        </w:rPr>
      </w:pPr>
      <w:r>
        <w:rPr>
          <w:b/>
          <w:sz w:val="28"/>
          <w:szCs w:val="28"/>
        </w:rPr>
        <w:t>i</w:t>
      </w:r>
      <w:r w:rsidRPr="00156377">
        <w:rPr>
          <w:b/>
          <w:sz w:val="28"/>
          <w:szCs w:val="28"/>
        </w:rPr>
        <w:t xml:space="preserve">) Kết quả của việc thực hiện TTHC: </w:t>
      </w:r>
      <w:r w:rsidRPr="00156377">
        <w:rPr>
          <w:sz w:val="28"/>
          <w:szCs w:val="28"/>
        </w:rPr>
        <w:t>Quyết định phê duyệt.</w:t>
      </w:r>
    </w:p>
    <w:p w:rsidR="00D1041B" w:rsidRPr="00156377" w:rsidRDefault="00D1041B" w:rsidP="00D1041B">
      <w:pPr>
        <w:spacing w:before="80" w:after="80"/>
        <w:ind w:firstLine="540"/>
        <w:jc w:val="both"/>
        <w:rPr>
          <w:sz w:val="28"/>
          <w:szCs w:val="28"/>
        </w:rPr>
      </w:pPr>
      <w:r>
        <w:rPr>
          <w:b/>
          <w:sz w:val="28"/>
          <w:szCs w:val="28"/>
        </w:rPr>
        <w:t>j</w:t>
      </w:r>
      <w:r w:rsidRPr="00156377">
        <w:rPr>
          <w:b/>
          <w:sz w:val="28"/>
          <w:szCs w:val="28"/>
        </w:rPr>
        <w:t>) Yêu cầu hoặc điều kiện để thực hiện TTHC</w:t>
      </w:r>
      <w:r w:rsidRPr="00156377">
        <w:rPr>
          <w:sz w:val="28"/>
          <w:szCs w:val="28"/>
        </w:rPr>
        <w:t>: Trong quá trình thẩm tra, chủ đầu tư có trách nhiệm xuất trình cho cơ quan thẩm tra các tài liệu phục vụ công tác thẩm tra quyết toán: Hồ sơ hoàn công, nhật ký thi công, hồ sơ đấu thầu, dự toán thiết kế, dự toán bổ sung và các hồ sơ, chứng từ thanh toán có liên quan.</w:t>
      </w:r>
    </w:p>
    <w:p w:rsidR="00D1041B" w:rsidRPr="00156377" w:rsidRDefault="00D1041B" w:rsidP="00D1041B">
      <w:pPr>
        <w:keepNext/>
        <w:spacing w:before="80" w:after="80"/>
        <w:ind w:firstLine="540"/>
        <w:jc w:val="both"/>
        <w:rPr>
          <w:sz w:val="28"/>
          <w:szCs w:val="28"/>
        </w:rPr>
      </w:pPr>
      <w:r>
        <w:rPr>
          <w:b/>
          <w:sz w:val="28"/>
          <w:szCs w:val="28"/>
        </w:rPr>
        <w:t>k</w:t>
      </w:r>
      <w:r w:rsidRPr="00156377">
        <w:rPr>
          <w:b/>
          <w:sz w:val="28"/>
          <w:szCs w:val="28"/>
        </w:rPr>
        <w:t>)</w:t>
      </w:r>
      <w:r w:rsidRPr="00156377">
        <w:rPr>
          <w:sz w:val="28"/>
          <w:szCs w:val="28"/>
        </w:rPr>
        <w:t xml:space="preserve"> </w:t>
      </w:r>
      <w:r w:rsidRPr="00156377">
        <w:rPr>
          <w:b/>
          <w:sz w:val="28"/>
          <w:szCs w:val="28"/>
        </w:rPr>
        <w:t>Căn cứ pháp lý của TTHC </w:t>
      </w:r>
      <w:r w:rsidRPr="00156377">
        <w:rPr>
          <w:sz w:val="28"/>
          <w:szCs w:val="28"/>
        </w:rPr>
        <w:t>:</w:t>
      </w:r>
    </w:p>
    <w:p w:rsidR="00D1041B" w:rsidRPr="001B22B1" w:rsidRDefault="00D1041B" w:rsidP="00D1041B">
      <w:pPr>
        <w:spacing w:before="120" w:after="120"/>
        <w:ind w:firstLine="540"/>
        <w:jc w:val="both"/>
        <w:rPr>
          <w:sz w:val="28"/>
          <w:szCs w:val="28"/>
        </w:rPr>
      </w:pPr>
      <w:r w:rsidRPr="001B22B1">
        <w:rPr>
          <w:color w:val="333333"/>
          <w:sz w:val="28"/>
          <w:szCs w:val="28"/>
        </w:rPr>
        <w:t xml:space="preserve">- </w:t>
      </w:r>
      <w:r w:rsidRPr="001B22B1">
        <w:rPr>
          <w:sz w:val="28"/>
          <w:szCs w:val="28"/>
        </w:rPr>
        <w:t xml:space="preserve">Luật Xây dựng 2003; </w:t>
      </w:r>
    </w:p>
    <w:p w:rsidR="00D1041B" w:rsidRPr="001B22B1" w:rsidRDefault="00D1041B" w:rsidP="00D1041B">
      <w:pPr>
        <w:autoSpaceDE w:val="0"/>
        <w:autoSpaceDN w:val="0"/>
        <w:adjustRightInd w:val="0"/>
        <w:spacing w:before="120" w:after="120"/>
        <w:ind w:firstLine="540"/>
        <w:jc w:val="both"/>
        <w:rPr>
          <w:sz w:val="28"/>
          <w:szCs w:val="28"/>
        </w:rPr>
      </w:pPr>
      <w:r w:rsidRPr="001B22B1">
        <w:rPr>
          <w:sz w:val="28"/>
          <w:szCs w:val="28"/>
        </w:rPr>
        <w:t>- Luật Đấu thầu 2003;</w:t>
      </w:r>
    </w:p>
    <w:p w:rsidR="00D1041B" w:rsidRPr="001B22B1" w:rsidRDefault="00D1041B" w:rsidP="00D1041B">
      <w:pPr>
        <w:spacing w:before="120" w:after="120"/>
        <w:ind w:firstLine="540"/>
        <w:jc w:val="both"/>
        <w:rPr>
          <w:sz w:val="28"/>
          <w:szCs w:val="28"/>
        </w:rPr>
      </w:pPr>
      <w:r w:rsidRPr="001B22B1">
        <w:rPr>
          <w:sz w:val="28"/>
          <w:szCs w:val="28"/>
        </w:rPr>
        <w:t>- Luật số 38/2009/QH12 ngày 19/06/2009 sửa đổi, bổ sung một số điều của các luật liên quan đến đầu tư xây dựng cơ bản;</w:t>
      </w:r>
    </w:p>
    <w:p w:rsidR="00D1041B" w:rsidRPr="001B22B1" w:rsidRDefault="00D1041B" w:rsidP="00D1041B">
      <w:pPr>
        <w:spacing w:before="120" w:after="120"/>
        <w:ind w:firstLine="540"/>
        <w:jc w:val="both"/>
        <w:rPr>
          <w:sz w:val="28"/>
          <w:szCs w:val="28"/>
        </w:rPr>
      </w:pPr>
      <w:r w:rsidRPr="001B22B1">
        <w:rPr>
          <w:sz w:val="28"/>
          <w:szCs w:val="28"/>
        </w:rPr>
        <w:t xml:space="preserve">- Nghị định số 16/2005/NĐ-CP ngày 07/02/2005 của Chính Phủ về </w:t>
      </w:r>
      <w:r w:rsidRPr="001B22B1">
        <w:rPr>
          <w:bCs/>
          <w:sz w:val="28"/>
          <w:szCs w:val="28"/>
        </w:rPr>
        <w:t>quản lý dự án đầu tư xây dựng công trình</w:t>
      </w:r>
      <w:r w:rsidRPr="001B22B1">
        <w:rPr>
          <w:sz w:val="28"/>
          <w:szCs w:val="28"/>
        </w:rPr>
        <w:t>;</w:t>
      </w:r>
    </w:p>
    <w:p w:rsidR="00D1041B" w:rsidRPr="001B22B1" w:rsidRDefault="00D1041B" w:rsidP="00D1041B">
      <w:pPr>
        <w:spacing w:before="120" w:after="120"/>
        <w:ind w:firstLine="540"/>
        <w:jc w:val="both"/>
        <w:rPr>
          <w:sz w:val="28"/>
          <w:szCs w:val="28"/>
        </w:rPr>
      </w:pPr>
      <w:r w:rsidRPr="001B22B1">
        <w:rPr>
          <w:sz w:val="28"/>
          <w:szCs w:val="28"/>
        </w:rPr>
        <w:t xml:space="preserve">- Nghị định số 112/2006/NĐ-CP ngày 29/09/2006 của Chính Phủ về sửa đổi, bổ sung một số điều của Nghị định 16/2005/NĐ-CP về </w:t>
      </w:r>
      <w:r w:rsidRPr="001B22B1">
        <w:rPr>
          <w:bCs/>
          <w:sz w:val="28"/>
          <w:szCs w:val="28"/>
        </w:rPr>
        <w:t>quản lý dự án đầu tư xây dựng công trình</w:t>
      </w:r>
      <w:r w:rsidRPr="001B22B1">
        <w:rPr>
          <w:sz w:val="28"/>
          <w:szCs w:val="28"/>
        </w:rPr>
        <w:t>;</w:t>
      </w:r>
    </w:p>
    <w:p w:rsidR="00D1041B" w:rsidRPr="001B22B1" w:rsidRDefault="00D1041B" w:rsidP="00D1041B">
      <w:pPr>
        <w:spacing w:before="120" w:after="120"/>
        <w:ind w:firstLine="540"/>
        <w:jc w:val="both"/>
        <w:rPr>
          <w:sz w:val="28"/>
          <w:szCs w:val="28"/>
        </w:rPr>
      </w:pPr>
      <w:r w:rsidRPr="001B22B1">
        <w:rPr>
          <w:sz w:val="28"/>
          <w:szCs w:val="28"/>
        </w:rPr>
        <w:t xml:space="preserve">- Nghị định số 99/2007/NĐ-CP ngày 13/06/2007 của Chính Phủ về quản lý chi phí đầu tư xây dựng công trình; </w:t>
      </w:r>
    </w:p>
    <w:p w:rsidR="00D1041B" w:rsidRPr="001B22B1" w:rsidRDefault="00D1041B" w:rsidP="00D1041B">
      <w:pPr>
        <w:spacing w:before="120" w:after="120"/>
        <w:ind w:firstLine="540"/>
        <w:jc w:val="both"/>
        <w:rPr>
          <w:sz w:val="28"/>
          <w:szCs w:val="28"/>
        </w:rPr>
      </w:pPr>
      <w:r w:rsidRPr="001B22B1">
        <w:rPr>
          <w:sz w:val="28"/>
          <w:szCs w:val="28"/>
        </w:rPr>
        <w:t xml:space="preserve">- Nghị định số 03/2008/NĐ-CP ngày 07/01/2008 của Chính phủ về sửa đổi, bổ sung một số điều của Nghị định số 99/2007/NĐ-CP ngày 13 tháng 6 năm 2007 của Chính phủ về quản lý chi phí đầu tư xây dựng công trình; </w:t>
      </w:r>
    </w:p>
    <w:p w:rsidR="00D1041B" w:rsidRPr="001B22B1" w:rsidRDefault="00D1041B" w:rsidP="00D1041B">
      <w:pPr>
        <w:spacing w:before="120" w:after="120"/>
        <w:ind w:firstLine="540"/>
        <w:jc w:val="both"/>
        <w:rPr>
          <w:bCs/>
          <w:sz w:val="28"/>
          <w:szCs w:val="28"/>
        </w:rPr>
      </w:pPr>
      <w:r w:rsidRPr="001B22B1">
        <w:rPr>
          <w:sz w:val="28"/>
          <w:szCs w:val="28"/>
        </w:rPr>
        <w:t>- Nghị định số 12/2009/NĐ-CP ngày 10/02/2009 của Chính Phủ về việc quản lý dự án đầu tư xây dựng công trình</w:t>
      </w:r>
      <w:r w:rsidRPr="001B22B1">
        <w:rPr>
          <w:bCs/>
          <w:sz w:val="28"/>
          <w:szCs w:val="28"/>
        </w:rPr>
        <w:t>;</w:t>
      </w:r>
    </w:p>
    <w:p w:rsidR="00D1041B" w:rsidRPr="001B22B1" w:rsidRDefault="00D1041B" w:rsidP="00D1041B">
      <w:pPr>
        <w:spacing w:before="120" w:after="120"/>
        <w:ind w:firstLine="540"/>
        <w:jc w:val="both"/>
        <w:rPr>
          <w:sz w:val="28"/>
          <w:szCs w:val="28"/>
        </w:rPr>
      </w:pPr>
      <w:r w:rsidRPr="001B22B1">
        <w:rPr>
          <w:bCs/>
          <w:sz w:val="28"/>
          <w:szCs w:val="28"/>
        </w:rPr>
        <w:t xml:space="preserve">- </w:t>
      </w:r>
      <w:r w:rsidRPr="001B22B1">
        <w:rPr>
          <w:sz w:val="28"/>
          <w:szCs w:val="28"/>
        </w:rPr>
        <w:t>Nghị định số 83/2009/NĐ-CP ngày 15/10/2009 của Chính phủ v</w:t>
      </w:r>
      <w:r w:rsidRPr="001B22B1">
        <w:rPr>
          <w:rStyle w:val="Strong"/>
          <w:b w:val="0"/>
          <w:sz w:val="28"/>
          <w:szCs w:val="28"/>
          <w:lang w:val="pt-BR"/>
        </w:rPr>
        <w:t>ề sửa đổi, bổ sung một số điều Nghị định số 12/2009/NĐ-CP ngày 12 tháng 02 năm 2009 của Chính phủ về quản lý dự án đầu tư xây dựng công trình</w:t>
      </w:r>
      <w:r w:rsidRPr="001B22B1">
        <w:rPr>
          <w:sz w:val="28"/>
          <w:szCs w:val="28"/>
        </w:rPr>
        <w:t xml:space="preserve">; </w:t>
      </w:r>
    </w:p>
    <w:p w:rsidR="00D1041B" w:rsidRPr="001B22B1" w:rsidRDefault="00D1041B" w:rsidP="00D1041B">
      <w:pPr>
        <w:spacing w:before="120" w:after="120"/>
        <w:ind w:firstLine="540"/>
        <w:jc w:val="both"/>
        <w:rPr>
          <w:sz w:val="28"/>
          <w:szCs w:val="28"/>
        </w:rPr>
      </w:pPr>
      <w:r w:rsidRPr="001B22B1">
        <w:rPr>
          <w:sz w:val="28"/>
          <w:szCs w:val="28"/>
        </w:rPr>
        <w:t>- Nghị định số 112/2009/NĐ-CP ngày 14/12/2009</w:t>
      </w:r>
      <w:r w:rsidRPr="001B22B1">
        <w:rPr>
          <w:b/>
          <w:sz w:val="28"/>
          <w:szCs w:val="28"/>
        </w:rPr>
        <w:t> </w:t>
      </w:r>
      <w:r w:rsidRPr="001B22B1">
        <w:rPr>
          <w:sz w:val="28"/>
          <w:szCs w:val="28"/>
        </w:rPr>
        <w:t xml:space="preserve">của Chính phủ </w:t>
      </w:r>
      <w:r w:rsidRPr="001B22B1">
        <w:rPr>
          <w:rStyle w:val="Strong"/>
          <w:b w:val="0"/>
          <w:sz w:val="28"/>
          <w:szCs w:val="28"/>
        </w:rPr>
        <w:t>về quản lý chi phí đầu tư xây dựng công trình</w:t>
      </w:r>
      <w:r w:rsidRPr="001B22B1">
        <w:rPr>
          <w:sz w:val="28"/>
          <w:szCs w:val="28"/>
        </w:rPr>
        <w:t xml:space="preserve">; </w:t>
      </w:r>
    </w:p>
    <w:p w:rsidR="00D1041B" w:rsidRPr="001B22B1" w:rsidRDefault="00D1041B" w:rsidP="00D1041B">
      <w:pPr>
        <w:spacing w:before="120" w:after="120"/>
        <w:ind w:firstLine="540"/>
        <w:jc w:val="both"/>
        <w:rPr>
          <w:sz w:val="28"/>
          <w:szCs w:val="28"/>
        </w:rPr>
      </w:pPr>
      <w:r w:rsidRPr="001B22B1">
        <w:rPr>
          <w:sz w:val="28"/>
          <w:szCs w:val="28"/>
        </w:rPr>
        <w:lastRenderedPageBreak/>
        <w:t>- Nghị định số 48/2010/NĐ-CP ngày 07/05/2010 của Chính phủ v</w:t>
      </w:r>
      <w:r w:rsidRPr="001B22B1">
        <w:rPr>
          <w:rStyle w:val="heading1char"/>
          <w:bCs/>
          <w:sz w:val="28"/>
          <w:szCs w:val="28"/>
        </w:rPr>
        <w:t>ề hợp đồng trong hoạt động xây dựng</w:t>
      </w:r>
      <w:r w:rsidRPr="001B22B1">
        <w:rPr>
          <w:sz w:val="28"/>
          <w:szCs w:val="28"/>
        </w:rPr>
        <w:t>.</w:t>
      </w:r>
    </w:p>
    <w:p w:rsidR="00D1041B" w:rsidRPr="001B22B1" w:rsidRDefault="00D1041B" w:rsidP="00D1041B">
      <w:pPr>
        <w:autoSpaceDE w:val="0"/>
        <w:autoSpaceDN w:val="0"/>
        <w:adjustRightInd w:val="0"/>
        <w:spacing w:before="120" w:after="120"/>
        <w:ind w:firstLine="540"/>
        <w:jc w:val="both"/>
        <w:rPr>
          <w:sz w:val="28"/>
          <w:szCs w:val="28"/>
        </w:rPr>
      </w:pPr>
      <w:r w:rsidRPr="001B22B1">
        <w:rPr>
          <w:sz w:val="28"/>
          <w:szCs w:val="28"/>
        </w:rPr>
        <w:t xml:space="preserve">- Nghị định số 111/2006/NĐ-CP ngày 29/09/2006 của Chính phủ về việc </w:t>
      </w:r>
      <w:r w:rsidRPr="001B22B1">
        <w:rPr>
          <w:noProof/>
          <w:sz w:val="28"/>
          <w:szCs w:val="28"/>
          <w:lang w:eastAsia="ko-KR"/>
        </w:rPr>
        <w:t>Hướng</w:t>
      </w:r>
      <w:r w:rsidRPr="001B22B1">
        <w:rPr>
          <w:sz w:val="28"/>
          <w:szCs w:val="28"/>
        </w:rPr>
        <w:t xml:space="preserve"> dẫn thi hành Luật Đấu thầu và lựa chọn nhà thầu xây dựng theo Luật Xây dựng;</w:t>
      </w:r>
    </w:p>
    <w:p w:rsidR="00D1041B" w:rsidRPr="001B22B1" w:rsidRDefault="00D1041B" w:rsidP="00D1041B">
      <w:pPr>
        <w:autoSpaceDE w:val="0"/>
        <w:autoSpaceDN w:val="0"/>
        <w:adjustRightInd w:val="0"/>
        <w:spacing w:before="120" w:after="120"/>
        <w:ind w:firstLine="540"/>
        <w:jc w:val="both"/>
        <w:rPr>
          <w:sz w:val="28"/>
          <w:szCs w:val="28"/>
        </w:rPr>
      </w:pPr>
      <w:r w:rsidRPr="001B22B1">
        <w:rPr>
          <w:sz w:val="28"/>
          <w:szCs w:val="28"/>
        </w:rPr>
        <w:t>- Nghị định số 58/2008/NĐ-CP ngày 05/05/2008 của Chính phủ h</w:t>
      </w:r>
      <w:r w:rsidRPr="001B22B1">
        <w:rPr>
          <w:noProof/>
          <w:sz w:val="28"/>
          <w:szCs w:val="28"/>
          <w:lang w:eastAsia="ko-KR"/>
        </w:rPr>
        <w:t>ướng</w:t>
      </w:r>
      <w:r w:rsidRPr="001B22B1">
        <w:rPr>
          <w:sz w:val="28"/>
          <w:szCs w:val="28"/>
        </w:rPr>
        <w:t xml:space="preserve"> dẫn thi hành Luật Đấu thầu và lựa chọn nhà thầu xây dựng theo Luật Xây dựng; </w:t>
      </w:r>
    </w:p>
    <w:p w:rsidR="00D1041B" w:rsidRPr="001B22B1" w:rsidRDefault="00D1041B" w:rsidP="00D1041B">
      <w:pPr>
        <w:autoSpaceDE w:val="0"/>
        <w:autoSpaceDN w:val="0"/>
        <w:adjustRightInd w:val="0"/>
        <w:spacing w:before="120" w:after="120"/>
        <w:ind w:firstLine="540"/>
        <w:jc w:val="both"/>
        <w:rPr>
          <w:sz w:val="28"/>
          <w:szCs w:val="28"/>
        </w:rPr>
      </w:pPr>
      <w:r w:rsidRPr="001B22B1">
        <w:rPr>
          <w:sz w:val="28"/>
          <w:szCs w:val="28"/>
        </w:rPr>
        <w:t>- Nghị định số 85/2009/NĐ-CP ngày 15/10/2009 của Chính phủ h</w:t>
      </w:r>
      <w:r w:rsidRPr="001B22B1">
        <w:rPr>
          <w:bCs/>
          <w:sz w:val="28"/>
          <w:szCs w:val="28"/>
        </w:rPr>
        <w:t>ướng dẫn thi hành Luật Đấu thầu và lựa chọn nhà thầu xây dựng theo Luật Xây dựng</w:t>
      </w:r>
      <w:r w:rsidRPr="001B22B1">
        <w:rPr>
          <w:sz w:val="28"/>
          <w:szCs w:val="28"/>
        </w:rPr>
        <w:t>.</w:t>
      </w:r>
    </w:p>
    <w:p w:rsidR="00D1041B" w:rsidRPr="00156377" w:rsidRDefault="00D1041B" w:rsidP="00D1041B">
      <w:pPr>
        <w:spacing w:before="80" w:after="80"/>
        <w:ind w:firstLine="540"/>
        <w:jc w:val="both"/>
        <w:rPr>
          <w:sz w:val="28"/>
          <w:szCs w:val="28"/>
        </w:rPr>
      </w:pPr>
      <w:r w:rsidRPr="001B22B1">
        <w:rPr>
          <w:sz w:val="28"/>
          <w:szCs w:val="28"/>
        </w:rPr>
        <w:t>- Thông tư</w:t>
      </w:r>
      <w:r>
        <w:rPr>
          <w:sz w:val="28"/>
          <w:szCs w:val="28"/>
        </w:rPr>
        <w:t xml:space="preserve"> 0</w:t>
      </w:r>
      <w:r w:rsidRPr="001B22B1">
        <w:rPr>
          <w:sz w:val="28"/>
          <w:szCs w:val="28"/>
        </w:rPr>
        <w:t>9/201</w:t>
      </w:r>
      <w:r>
        <w:rPr>
          <w:sz w:val="28"/>
          <w:szCs w:val="28"/>
        </w:rPr>
        <w:t>6/TT-BTC ngày 18</w:t>
      </w:r>
      <w:r w:rsidRPr="001B22B1">
        <w:rPr>
          <w:sz w:val="28"/>
          <w:szCs w:val="28"/>
        </w:rPr>
        <w:t>/0</w:t>
      </w:r>
      <w:r>
        <w:rPr>
          <w:sz w:val="28"/>
          <w:szCs w:val="28"/>
        </w:rPr>
        <w:t>1</w:t>
      </w:r>
      <w:r w:rsidRPr="001B22B1">
        <w:rPr>
          <w:sz w:val="28"/>
          <w:szCs w:val="28"/>
        </w:rPr>
        <w:t>/201</w:t>
      </w:r>
      <w:r>
        <w:rPr>
          <w:sz w:val="28"/>
          <w:szCs w:val="28"/>
        </w:rPr>
        <w:t>6</w:t>
      </w:r>
      <w:r w:rsidRPr="001B22B1">
        <w:rPr>
          <w:sz w:val="28"/>
          <w:szCs w:val="28"/>
        </w:rPr>
        <w:t xml:space="preserve"> của Bộ Tài chính </w:t>
      </w:r>
      <w:r w:rsidRPr="001B22B1">
        <w:rPr>
          <w:bCs/>
          <w:sz w:val="28"/>
          <w:szCs w:val="28"/>
        </w:rPr>
        <w:t>Quy định về quyết toán dự án hoàn thành</w:t>
      </w:r>
      <w:r w:rsidRPr="001B22B1">
        <w:rPr>
          <w:sz w:val="28"/>
          <w:szCs w:val="28"/>
        </w:rPr>
        <w:t xml:space="preserve"> </w:t>
      </w:r>
      <w:r w:rsidRPr="001B22B1">
        <w:rPr>
          <w:bCs/>
          <w:sz w:val="28"/>
          <w:szCs w:val="28"/>
        </w:rPr>
        <w:t>thuộc nguồn vốn Nhà nước</w:t>
      </w:r>
      <w:r w:rsidRPr="00156377">
        <w:rPr>
          <w:sz w:val="28"/>
          <w:szCs w:val="28"/>
        </w:rPr>
        <w:t>.</w:t>
      </w:r>
      <w:r>
        <w:rPr>
          <w:sz w:val="28"/>
          <w:szCs w:val="28"/>
        </w:rPr>
        <w:t>/.</w:t>
      </w:r>
    </w:p>
    <w:p w:rsidR="00D1041B" w:rsidRDefault="00D1041B">
      <w:bookmarkStart w:id="0" w:name="_GoBack"/>
      <w:bookmarkEnd w:id="0"/>
    </w:p>
    <w:sectPr w:rsidR="00D1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3A"/>
    <w:rsid w:val="00BF0295"/>
    <w:rsid w:val="00D1041B"/>
    <w:rsid w:val="00E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1041B"/>
    <w:pPr>
      <w:spacing w:after="120" w:line="480" w:lineRule="auto"/>
    </w:pPr>
    <w:rPr>
      <w:rFonts w:ascii=".VnTime" w:hAnsi=".VnTime" w:cs=".VnTime"/>
      <w:sz w:val="28"/>
      <w:szCs w:val="28"/>
    </w:rPr>
  </w:style>
  <w:style w:type="character" w:customStyle="1" w:styleId="BodyTextIndentChar">
    <w:name w:val="Body Text Indent Char"/>
    <w:basedOn w:val="DefaultParagraphFont"/>
    <w:link w:val="BodyTextIndent"/>
    <w:rsid w:val="00D1041B"/>
    <w:rPr>
      <w:rFonts w:ascii=".VnTime" w:eastAsia="Times New Roman" w:hAnsi=".VnTime" w:cs=".VnTime"/>
      <w:sz w:val="28"/>
      <w:szCs w:val="28"/>
    </w:rPr>
  </w:style>
  <w:style w:type="paragraph" w:styleId="BodyTextIndent2">
    <w:name w:val="Body Text Indent 2"/>
    <w:basedOn w:val="Normal"/>
    <w:link w:val="BodyTextIndent2Char"/>
    <w:rsid w:val="00D1041B"/>
    <w:pPr>
      <w:spacing w:before="120" w:line="320" w:lineRule="exact"/>
      <w:ind w:firstLine="720"/>
      <w:jc w:val="both"/>
    </w:pPr>
    <w:rPr>
      <w:rFonts w:ascii=".VnTime" w:hAnsi=".VnTime" w:cs=".VnTime"/>
      <w:i/>
      <w:iCs/>
      <w:sz w:val="28"/>
      <w:szCs w:val="28"/>
    </w:rPr>
  </w:style>
  <w:style w:type="character" w:customStyle="1" w:styleId="BodyTextIndent2Char">
    <w:name w:val="Body Text Indent 2 Char"/>
    <w:basedOn w:val="DefaultParagraphFont"/>
    <w:link w:val="BodyTextIndent2"/>
    <w:rsid w:val="00D1041B"/>
    <w:rPr>
      <w:rFonts w:ascii=".VnTime" w:eastAsia="Times New Roman" w:hAnsi=".VnTime" w:cs=".VnTime"/>
      <w:i/>
      <w:iCs/>
      <w:sz w:val="28"/>
      <w:szCs w:val="28"/>
    </w:rPr>
  </w:style>
  <w:style w:type="paragraph" w:styleId="BodyTextIndent3">
    <w:name w:val="Body Text Indent 3"/>
    <w:basedOn w:val="Normal"/>
    <w:link w:val="BodyTextIndent3Char"/>
    <w:rsid w:val="00D1041B"/>
    <w:pPr>
      <w:ind w:firstLine="360"/>
      <w:jc w:val="both"/>
    </w:pPr>
    <w:rPr>
      <w:rFonts w:ascii=".VnTime" w:hAnsi=".VnTime" w:cs=".VnTime"/>
      <w:sz w:val="28"/>
      <w:szCs w:val="28"/>
    </w:rPr>
  </w:style>
  <w:style w:type="character" w:customStyle="1" w:styleId="BodyTextIndent3Char">
    <w:name w:val="Body Text Indent 3 Char"/>
    <w:basedOn w:val="DefaultParagraphFont"/>
    <w:link w:val="BodyTextIndent3"/>
    <w:rsid w:val="00D1041B"/>
    <w:rPr>
      <w:rFonts w:ascii=".VnTime" w:eastAsia="Times New Roman" w:hAnsi=".VnTime" w:cs=".VnTime"/>
      <w:sz w:val="28"/>
      <w:szCs w:val="28"/>
    </w:rPr>
  </w:style>
  <w:style w:type="character" w:styleId="Strong">
    <w:name w:val="Strong"/>
    <w:qFormat/>
    <w:rsid w:val="00D1041B"/>
    <w:rPr>
      <w:b/>
    </w:rPr>
  </w:style>
  <w:style w:type="character" w:customStyle="1" w:styleId="heading1char">
    <w:name w:val="heading1char"/>
    <w:rsid w:val="00D104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1041B"/>
    <w:pPr>
      <w:spacing w:after="120" w:line="480" w:lineRule="auto"/>
    </w:pPr>
    <w:rPr>
      <w:rFonts w:ascii=".VnTime" w:hAnsi=".VnTime" w:cs=".VnTime"/>
      <w:sz w:val="28"/>
      <w:szCs w:val="28"/>
    </w:rPr>
  </w:style>
  <w:style w:type="character" w:customStyle="1" w:styleId="BodyTextIndentChar">
    <w:name w:val="Body Text Indent Char"/>
    <w:basedOn w:val="DefaultParagraphFont"/>
    <w:link w:val="BodyTextIndent"/>
    <w:rsid w:val="00D1041B"/>
    <w:rPr>
      <w:rFonts w:ascii=".VnTime" w:eastAsia="Times New Roman" w:hAnsi=".VnTime" w:cs=".VnTime"/>
      <w:sz w:val="28"/>
      <w:szCs w:val="28"/>
    </w:rPr>
  </w:style>
  <w:style w:type="paragraph" w:styleId="BodyTextIndent2">
    <w:name w:val="Body Text Indent 2"/>
    <w:basedOn w:val="Normal"/>
    <w:link w:val="BodyTextIndent2Char"/>
    <w:rsid w:val="00D1041B"/>
    <w:pPr>
      <w:spacing w:before="120" w:line="320" w:lineRule="exact"/>
      <w:ind w:firstLine="720"/>
      <w:jc w:val="both"/>
    </w:pPr>
    <w:rPr>
      <w:rFonts w:ascii=".VnTime" w:hAnsi=".VnTime" w:cs=".VnTime"/>
      <w:i/>
      <w:iCs/>
      <w:sz w:val="28"/>
      <w:szCs w:val="28"/>
    </w:rPr>
  </w:style>
  <w:style w:type="character" w:customStyle="1" w:styleId="BodyTextIndent2Char">
    <w:name w:val="Body Text Indent 2 Char"/>
    <w:basedOn w:val="DefaultParagraphFont"/>
    <w:link w:val="BodyTextIndent2"/>
    <w:rsid w:val="00D1041B"/>
    <w:rPr>
      <w:rFonts w:ascii=".VnTime" w:eastAsia="Times New Roman" w:hAnsi=".VnTime" w:cs=".VnTime"/>
      <w:i/>
      <w:iCs/>
      <w:sz w:val="28"/>
      <w:szCs w:val="28"/>
    </w:rPr>
  </w:style>
  <w:style w:type="paragraph" w:styleId="BodyTextIndent3">
    <w:name w:val="Body Text Indent 3"/>
    <w:basedOn w:val="Normal"/>
    <w:link w:val="BodyTextIndent3Char"/>
    <w:rsid w:val="00D1041B"/>
    <w:pPr>
      <w:ind w:firstLine="360"/>
      <w:jc w:val="both"/>
    </w:pPr>
    <w:rPr>
      <w:rFonts w:ascii=".VnTime" w:hAnsi=".VnTime" w:cs=".VnTime"/>
      <w:sz w:val="28"/>
      <w:szCs w:val="28"/>
    </w:rPr>
  </w:style>
  <w:style w:type="character" w:customStyle="1" w:styleId="BodyTextIndent3Char">
    <w:name w:val="Body Text Indent 3 Char"/>
    <w:basedOn w:val="DefaultParagraphFont"/>
    <w:link w:val="BodyTextIndent3"/>
    <w:rsid w:val="00D1041B"/>
    <w:rPr>
      <w:rFonts w:ascii=".VnTime" w:eastAsia="Times New Roman" w:hAnsi=".VnTime" w:cs=".VnTime"/>
      <w:sz w:val="28"/>
      <w:szCs w:val="28"/>
    </w:rPr>
  </w:style>
  <w:style w:type="character" w:styleId="Strong">
    <w:name w:val="Strong"/>
    <w:qFormat/>
    <w:rsid w:val="00D1041B"/>
    <w:rPr>
      <w:b/>
    </w:rPr>
  </w:style>
  <w:style w:type="character" w:customStyle="1" w:styleId="heading1char">
    <w:name w:val="heading1char"/>
    <w:rsid w:val="00D104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B288B-028F-45E4-B401-05E32A90E646}"/>
</file>

<file path=customXml/itemProps2.xml><?xml version="1.0" encoding="utf-8"?>
<ds:datastoreItem xmlns:ds="http://schemas.openxmlformats.org/officeDocument/2006/customXml" ds:itemID="{32DF18B1-EB00-4F4F-875D-49F75DF6B0BF}"/>
</file>

<file path=customXml/itemProps3.xml><?xml version="1.0" encoding="utf-8"?>
<ds:datastoreItem xmlns:ds="http://schemas.openxmlformats.org/officeDocument/2006/customXml" ds:itemID="{F4919441-0093-4451-8648-9F23E3426C69}"/>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2</cp:revision>
  <dcterms:created xsi:type="dcterms:W3CDTF">2019-09-21T15:00:00Z</dcterms:created>
  <dcterms:modified xsi:type="dcterms:W3CDTF">2019-09-21T15:01:00Z</dcterms:modified>
</cp:coreProperties>
</file>